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3688" w14:textId="77777777" w:rsidR="00592E4C" w:rsidRPr="00592E4C" w:rsidRDefault="00592E4C" w:rsidP="00592E4C">
      <w:pPr>
        <w:spacing w:after="0" w:line="240" w:lineRule="auto"/>
        <w:jc w:val="center"/>
        <w:rPr>
          <w:rFonts w:asciiTheme="majorHAnsi" w:hAnsiTheme="majorHAnsi" w:cstheme="majorHAnsi"/>
          <w:b/>
          <w:bCs/>
          <w:sz w:val="26"/>
          <w:szCs w:val="26"/>
        </w:rPr>
      </w:pPr>
      <w:r w:rsidRPr="00592E4C">
        <w:rPr>
          <w:rFonts w:asciiTheme="majorHAnsi" w:hAnsiTheme="majorHAnsi" w:cstheme="majorHAnsi"/>
          <w:b/>
          <w:bCs/>
          <w:sz w:val="26"/>
          <w:szCs w:val="26"/>
        </w:rPr>
        <w:t>TÓM TẮT THÀNH TÍCH ĐỀ NGHỊ HUÂN CHƯƠNG LAO ĐỘNG HẠNG BA</w:t>
      </w:r>
    </w:p>
    <w:p w14:paraId="551A0048" w14:textId="77777777" w:rsidR="00592E4C" w:rsidRPr="00592E4C" w:rsidRDefault="00592E4C" w:rsidP="00592E4C">
      <w:pPr>
        <w:spacing w:after="0" w:line="240" w:lineRule="auto"/>
        <w:jc w:val="center"/>
        <w:rPr>
          <w:rFonts w:asciiTheme="majorHAnsi" w:hAnsiTheme="majorHAnsi" w:cstheme="majorHAnsi"/>
          <w:i/>
          <w:iCs/>
          <w:sz w:val="26"/>
          <w:szCs w:val="26"/>
          <w:lang w:val="en-US"/>
        </w:rPr>
      </w:pPr>
      <w:r w:rsidRPr="00592E4C">
        <w:rPr>
          <w:rFonts w:asciiTheme="majorHAnsi" w:hAnsiTheme="majorHAnsi" w:cstheme="majorHAnsi"/>
          <w:i/>
          <w:iCs/>
          <w:sz w:val="26"/>
          <w:szCs w:val="26"/>
          <w:lang w:val="en-US"/>
        </w:rPr>
        <w:t>(Kèm theo Tờ trình số:       /TTr-BVPNT ngày     tháng 6 năm 2026 của Bệnh viện Phạm Ngọc Thạch)</w:t>
      </w:r>
    </w:p>
    <w:p w14:paraId="6189B42E" w14:textId="636C92F6" w:rsidR="00592E4C" w:rsidRPr="00592E4C" w:rsidRDefault="00592E4C" w:rsidP="00592E4C">
      <w:pPr>
        <w:jc w:val="center"/>
        <w:rPr>
          <w:b/>
          <w:bCs/>
          <w:sz w:val="12"/>
          <w:szCs w:val="12"/>
          <w:lang w:val="en-US"/>
        </w:rPr>
      </w:pPr>
    </w:p>
    <w:tbl>
      <w:tblPr>
        <w:tblStyle w:val="LiBang"/>
        <w:tblW w:w="13745" w:type="dxa"/>
        <w:jc w:val="center"/>
        <w:tblLook w:val="04A0" w:firstRow="1" w:lastRow="0" w:firstColumn="1" w:lastColumn="0" w:noHBand="0" w:noVBand="1"/>
      </w:tblPr>
      <w:tblGrid>
        <w:gridCol w:w="846"/>
        <w:gridCol w:w="3827"/>
        <w:gridCol w:w="9072"/>
      </w:tblGrid>
      <w:tr w:rsidR="00592E4C" w:rsidRPr="00592E4C" w14:paraId="2D8D5374" w14:textId="77777777" w:rsidTr="006E16AC">
        <w:trPr>
          <w:trHeight w:val="905"/>
          <w:tblHeader/>
          <w:jc w:val="center"/>
        </w:trPr>
        <w:tc>
          <w:tcPr>
            <w:tcW w:w="846" w:type="dxa"/>
            <w:vAlign w:val="center"/>
          </w:tcPr>
          <w:p w14:paraId="7AD2235F" w14:textId="77777777" w:rsidR="00592E4C" w:rsidRPr="00592E4C" w:rsidRDefault="00592E4C" w:rsidP="006E16AC">
            <w:pPr>
              <w:rPr>
                <w:rFonts w:asciiTheme="majorHAnsi" w:hAnsiTheme="majorHAnsi" w:cstheme="majorHAnsi"/>
                <w:b/>
                <w:bCs/>
                <w:sz w:val="26"/>
                <w:szCs w:val="26"/>
                <w:lang w:val="vi-VN"/>
              </w:rPr>
            </w:pPr>
            <w:r w:rsidRPr="00592E4C">
              <w:rPr>
                <w:rFonts w:asciiTheme="majorHAnsi" w:hAnsiTheme="majorHAnsi" w:cstheme="majorHAnsi"/>
                <w:b/>
                <w:bCs/>
                <w:sz w:val="26"/>
                <w:szCs w:val="26"/>
                <w:lang w:val="vi-VN"/>
              </w:rPr>
              <w:t>STT</w:t>
            </w:r>
          </w:p>
        </w:tc>
        <w:tc>
          <w:tcPr>
            <w:tcW w:w="12899" w:type="dxa"/>
            <w:gridSpan w:val="2"/>
            <w:vAlign w:val="center"/>
          </w:tcPr>
          <w:p w14:paraId="6AA3EB78" w14:textId="77777777" w:rsidR="00592E4C" w:rsidRPr="00592E4C" w:rsidRDefault="00592E4C" w:rsidP="006E16AC">
            <w:pPr>
              <w:rPr>
                <w:rFonts w:asciiTheme="majorHAnsi" w:hAnsiTheme="majorHAnsi" w:cstheme="majorHAnsi"/>
                <w:b/>
                <w:bCs/>
                <w:sz w:val="26"/>
                <w:szCs w:val="26"/>
                <w:lang w:val="vi-VN"/>
              </w:rPr>
            </w:pPr>
            <w:r w:rsidRPr="00592E4C">
              <w:rPr>
                <w:rFonts w:asciiTheme="majorHAnsi" w:hAnsiTheme="majorHAnsi" w:cstheme="majorHAnsi"/>
                <w:b/>
                <w:bCs/>
                <w:sz w:val="26"/>
                <w:szCs w:val="26"/>
                <w:lang w:val="vi-VN"/>
              </w:rPr>
              <w:t>Khen thưởng tập thể có nhiều thành tích xuất sắc trong tổng kết 10 năm thực hiện Chỉ thị số 05-CT/TW ngày 15/5/2016 của Bộ Chính trị về “Đẩy mạnh học tập và làm theo tư tưởng, đạo đức, phong cách Hồ Chí Minh”</w:t>
            </w:r>
          </w:p>
        </w:tc>
      </w:tr>
      <w:tr w:rsidR="00592E4C" w:rsidRPr="00592E4C" w14:paraId="0631113D" w14:textId="77777777" w:rsidTr="006E16AC">
        <w:trPr>
          <w:trHeight w:val="549"/>
          <w:tblHeader/>
          <w:jc w:val="center"/>
        </w:trPr>
        <w:tc>
          <w:tcPr>
            <w:tcW w:w="846" w:type="dxa"/>
            <w:vAlign w:val="center"/>
          </w:tcPr>
          <w:p w14:paraId="21C76275" w14:textId="77777777" w:rsidR="00592E4C" w:rsidRPr="00592E4C" w:rsidRDefault="00592E4C" w:rsidP="006E16AC">
            <w:pPr>
              <w:rPr>
                <w:rFonts w:asciiTheme="majorHAnsi" w:hAnsiTheme="majorHAnsi" w:cstheme="majorHAnsi"/>
                <w:b/>
                <w:bCs/>
                <w:sz w:val="26"/>
                <w:szCs w:val="26"/>
                <w:lang w:val="vi-VN"/>
              </w:rPr>
            </w:pPr>
            <w:bookmarkStart w:id="0" w:name="_GoBack" w:colFirst="1" w:colLast="2"/>
            <w:r w:rsidRPr="00592E4C">
              <w:rPr>
                <w:rFonts w:asciiTheme="majorHAnsi" w:hAnsiTheme="majorHAnsi" w:cstheme="majorHAnsi"/>
                <w:b/>
                <w:bCs/>
                <w:sz w:val="26"/>
                <w:szCs w:val="26"/>
                <w:lang w:val="vi-VN"/>
              </w:rPr>
              <w:t>I</w:t>
            </w:r>
          </w:p>
        </w:tc>
        <w:tc>
          <w:tcPr>
            <w:tcW w:w="3827" w:type="dxa"/>
            <w:vAlign w:val="center"/>
          </w:tcPr>
          <w:p w14:paraId="7918E9C2" w14:textId="77777777" w:rsidR="00592E4C" w:rsidRPr="00592E4C" w:rsidRDefault="00592E4C" w:rsidP="009673AE">
            <w:pPr>
              <w:jc w:val="center"/>
              <w:rPr>
                <w:rFonts w:asciiTheme="majorHAnsi" w:hAnsiTheme="majorHAnsi" w:cstheme="majorHAnsi"/>
                <w:b/>
                <w:bCs/>
                <w:sz w:val="26"/>
                <w:szCs w:val="26"/>
                <w:lang w:val="vi-VN"/>
              </w:rPr>
            </w:pPr>
            <w:r w:rsidRPr="00592E4C">
              <w:rPr>
                <w:rFonts w:asciiTheme="majorHAnsi" w:hAnsiTheme="majorHAnsi" w:cstheme="majorHAnsi"/>
                <w:b/>
                <w:bCs/>
                <w:sz w:val="26"/>
                <w:szCs w:val="26"/>
                <w:lang w:val="vi-VN"/>
              </w:rPr>
              <w:t>Tên tập thể</w:t>
            </w:r>
          </w:p>
        </w:tc>
        <w:tc>
          <w:tcPr>
            <w:tcW w:w="9072" w:type="dxa"/>
            <w:vAlign w:val="center"/>
          </w:tcPr>
          <w:p w14:paraId="4BCCADB7" w14:textId="77777777" w:rsidR="00592E4C" w:rsidRPr="00592E4C" w:rsidRDefault="00592E4C" w:rsidP="009673AE">
            <w:pPr>
              <w:jc w:val="center"/>
              <w:rPr>
                <w:rFonts w:asciiTheme="majorHAnsi" w:hAnsiTheme="majorHAnsi" w:cstheme="majorHAnsi"/>
                <w:b/>
                <w:bCs/>
                <w:sz w:val="26"/>
                <w:szCs w:val="26"/>
                <w:lang w:val="vi-VN"/>
              </w:rPr>
            </w:pPr>
            <w:r w:rsidRPr="00592E4C">
              <w:rPr>
                <w:rFonts w:asciiTheme="majorHAnsi" w:hAnsiTheme="majorHAnsi" w:cstheme="majorHAnsi"/>
                <w:b/>
                <w:bCs/>
                <w:sz w:val="26"/>
                <w:szCs w:val="26"/>
                <w:lang w:val="vi-VN"/>
              </w:rPr>
              <w:t>Tóm tắt thành tích</w:t>
            </w:r>
          </w:p>
        </w:tc>
      </w:tr>
      <w:bookmarkEnd w:id="0"/>
      <w:tr w:rsidR="00592E4C" w:rsidRPr="00592E4C" w14:paraId="32A5E501" w14:textId="77777777" w:rsidTr="006E16AC">
        <w:trPr>
          <w:trHeight w:val="549"/>
          <w:jc w:val="center"/>
        </w:trPr>
        <w:tc>
          <w:tcPr>
            <w:tcW w:w="846" w:type="dxa"/>
            <w:vAlign w:val="center"/>
          </w:tcPr>
          <w:p w14:paraId="236EF6C7" w14:textId="77777777" w:rsidR="00592E4C" w:rsidRPr="00592E4C" w:rsidRDefault="00592E4C" w:rsidP="006E16AC">
            <w:pPr>
              <w:rPr>
                <w:rFonts w:asciiTheme="majorHAnsi" w:hAnsiTheme="majorHAnsi" w:cstheme="majorHAnsi"/>
                <w:sz w:val="26"/>
                <w:szCs w:val="26"/>
                <w:lang w:val="vi-VN"/>
              </w:rPr>
            </w:pPr>
            <w:r w:rsidRPr="00592E4C">
              <w:rPr>
                <w:rFonts w:asciiTheme="majorHAnsi" w:hAnsiTheme="majorHAnsi" w:cstheme="majorHAnsi"/>
                <w:sz w:val="26"/>
                <w:szCs w:val="26"/>
                <w:lang w:val="vi-VN"/>
              </w:rPr>
              <w:t>1</w:t>
            </w:r>
          </w:p>
        </w:tc>
        <w:tc>
          <w:tcPr>
            <w:tcW w:w="3827" w:type="dxa"/>
            <w:vAlign w:val="center"/>
          </w:tcPr>
          <w:p w14:paraId="72FDEACF" w14:textId="4D5B0A9A" w:rsidR="00592E4C" w:rsidRPr="009673AE" w:rsidRDefault="00592E4C" w:rsidP="006E16AC">
            <w:pPr>
              <w:rPr>
                <w:rFonts w:asciiTheme="majorHAnsi" w:hAnsiTheme="majorHAnsi" w:cstheme="majorHAnsi"/>
                <w:sz w:val="26"/>
                <w:szCs w:val="26"/>
              </w:rPr>
            </w:pPr>
            <w:r w:rsidRPr="00592E4C">
              <w:rPr>
                <w:rFonts w:asciiTheme="majorHAnsi" w:hAnsiTheme="majorHAnsi" w:cstheme="majorHAnsi"/>
                <w:sz w:val="26"/>
                <w:szCs w:val="26"/>
                <w:lang w:val="vi-VN"/>
              </w:rPr>
              <w:t>Bệnh viện Phạm Ngọc Thạch</w:t>
            </w:r>
            <w:r w:rsidR="009673AE">
              <w:rPr>
                <w:rFonts w:asciiTheme="majorHAnsi" w:hAnsiTheme="majorHAnsi" w:cstheme="majorHAnsi"/>
                <w:sz w:val="26"/>
                <w:szCs w:val="26"/>
              </w:rPr>
              <w:t>, Sở Y tế tỉnh Thái Nguyên</w:t>
            </w:r>
          </w:p>
        </w:tc>
        <w:tc>
          <w:tcPr>
            <w:tcW w:w="9072" w:type="dxa"/>
            <w:vAlign w:val="center"/>
          </w:tcPr>
          <w:p w14:paraId="12260216" w14:textId="77777777" w:rsidR="00592E4C" w:rsidRPr="00592E4C" w:rsidRDefault="00592E4C" w:rsidP="006E16AC">
            <w:pPr>
              <w:pStyle w:val="ThngthngWeb"/>
              <w:numPr>
                <w:ilvl w:val="0"/>
                <w:numId w:val="1"/>
              </w:numPr>
              <w:tabs>
                <w:tab w:val="left" w:pos="178"/>
              </w:tabs>
              <w:spacing w:before="0" w:beforeAutospacing="0" w:after="120" w:afterAutospacing="0"/>
              <w:ind w:left="0" w:firstLine="36"/>
              <w:jc w:val="both"/>
              <w:rPr>
                <w:rFonts w:asciiTheme="majorHAnsi" w:hAnsiTheme="majorHAnsi" w:cstheme="majorHAnsi"/>
                <w:sz w:val="26"/>
                <w:szCs w:val="26"/>
              </w:rPr>
            </w:pPr>
            <w:r w:rsidRPr="00592E4C">
              <w:rPr>
                <w:rFonts w:asciiTheme="majorHAnsi" w:hAnsiTheme="majorHAnsi" w:cstheme="majorHAnsi"/>
                <w:sz w:val="26"/>
                <w:szCs w:val="26"/>
              </w:rPr>
              <w:t>Trong giai đoạn 2016-2026, Đảng ủy, Ban Giám đốc Bệnh viện đã lãnh đạo, chỉ đạo triển khai nghiêm túc, hiệu quả việc học tập và làm theo tư tưởng, đạo đức, phong cách Hồ Chí Minh; thường xuyên đổi mới nội dung, hình thức tuyên truyền, quán triệt và tổ chức thực hiện các chuyên đề toàn khóa, chuyên đề hằng năm. 100% cán bộ, đảng viên, viên chức, người lao động tham gia học tập, xây dựng cam kết tu dưỡng, rèn luyện, đăng ký nội dung làm theo Bác gắn với chức trách, nhiệm vụ được giao; đưa kết quả thực hiện vào tiêu chí đánh giá, xếp loại tổ chức đảng, đảng viên và viên chức hằng năm, tạo sức lan tỏa sâu rộng trong toàn đơn vị.</w:t>
            </w:r>
          </w:p>
          <w:p w14:paraId="572AB545" w14:textId="77777777" w:rsidR="00592E4C" w:rsidRPr="00592E4C" w:rsidRDefault="00592E4C" w:rsidP="006E16AC">
            <w:pPr>
              <w:pStyle w:val="ThngthngWeb"/>
              <w:numPr>
                <w:ilvl w:val="0"/>
                <w:numId w:val="1"/>
              </w:numPr>
              <w:tabs>
                <w:tab w:val="left" w:pos="178"/>
              </w:tabs>
              <w:spacing w:before="0" w:beforeAutospacing="0" w:after="120" w:afterAutospacing="0"/>
              <w:ind w:left="0" w:firstLine="36"/>
              <w:jc w:val="both"/>
              <w:rPr>
                <w:rFonts w:asciiTheme="majorHAnsi" w:hAnsiTheme="majorHAnsi" w:cstheme="majorHAnsi"/>
                <w:sz w:val="26"/>
                <w:szCs w:val="26"/>
              </w:rPr>
            </w:pPr>
            <w:r w:rsidRPr="00592E4C">
              <w:rPr>
                <w:rFonts w:asciiTheme="majorHAnsi" w:hAnsiTheme="majorHAnsi" w:cstheme="majorHAnsi"/>
                <w:sz w:val="26"/>
                <w:szCs w:val="26"/>
              </w:rPr>
              <w:t>Đơn vị đã xây dựng và triển khai hiệu quả nhiều mô hình hay, giải pháp đổi mới, cách làm sáng tạo gắn với nhiệm vụ chuyên môn như: “Đổi mới phong cách, thái độ phục vụ của cán bộ y tế hướng tới sự hài lòng của người bệnh”; “Bệnh viện xanh - sạch - đẹp”; nâng cao chất lượng khám bệnh, chữa bệnh; cải cách hành chính; ứng dụng công nghệ thông tin, chuyển đổi số trong quản lý và khám chữa bệnh; thanh toán không dùng tiền mặt; quản lý hồ sơ sức khỏe điện tử và từng bước triển khai bệnh án điện tử. Các mô hình, giải pháp đã tạo chuyển biến rõ nét trong chất lượng khám chữa bệnh, tinh thần trách nhiệm và thái độ phục vụ của đội ngũ cán bộ y tế; góp phần nâng cao hiệu quả hoạt động của đơn vị, thúc đẩy chuyển đổi số ngành y tế, phục vụ ngày càng tốt hơn nhu cầu chăm sóc sức khỏe nhân dân, đồng thời tạo sức lan tỏa tích cực trong thực hiện nhiệm vụ chính trị, công tác phòng chống dịch bệnh và bảo đảm an sinh xã hội trên địa bàn.</w:t>
            </w:r>
          </w:p>
          <w:p w14:paraId="1C790983" w14:textId="77777777" w:rsidR="00592E4C" w:rsidRPr="00592E4C" w:rsidRDefault="00592E4C" w:rsidP="006E16AC">
            <w:pPr>
              <w:pStyle w:val="ThngthngWeb"/>
              <w:numPr>
                <w:ilvl w:val="0"/>
                <w:numId w:val="1"/>
              </w:numPr>
              <w:tabs>
                <w:tab w:val="left" w:pos="178"/>
              </w:tabs>
              <w:spacing w:before="0" w:beforeAutospacing="0" w:after="120" w:afterAutospacing="0"/>
              <w:ind w:left="0" w:firstLine="36"/>
              <w:jc w:val="both"/>
              <w:rPr>
                <w:rFonts w:asciiTheme="majorHAnsi" w:hAnsiTheme="majorHAnsi" w:cstheme="majorHAnsi"/>
                <w:sz w:val="26"/>
                <w:szCs w:val="26"/>
              </w:rPr>
            </w:pPr>
            <w:r w:rsidRPr="00592E4C">
              <w:rPr>
                <w:rFonts w:asciiTheme="majorHAnsi" w:hAnsiTheme="majorHAnsi" w:cstheme="majorHAnsi"/>
                <w:sz w:val="26"/>
                <w:szCs w:val="26"/>
              </w:rPr>
              <w:t xml:space="preserve">Thông qua việc học tập và làm theo Bác, đơn vị đã tạo được chuyển biến rõ nét trong thực hiện nhiệm vụ chính trị và chuyên môn; chất lượng khám chữa bệnh không ngừng được nâng cao, tinh thần trách nhiệm, thái độ phục vụ người bệnh của đội ngũ cán bộ </w:t>
            </w:r>
            <w:r w:rsidRPr="00592E4C">
              <w:rPr>
                <w:rFonts w:asciiTheme="majorHAnsi" w:hAnsiTheme="majorHAnsi" w:cstheme="majorHAnsi"/>
                <w:sz w:val="26"/>
                <w:szCs w:val="26"/>
              </w:rPr>
              <w:lastRenderedPageBreak/>
              <w:t>y tế có nhiều tiến bộ; kỷ luật, kỷ cương hành chính được tăng cường; môi trường bệnh viện ngày càng văn minh, thân thiện. Đặc biệt trong giai đoạn phòng, chống dịch Covid-19, tập thể cán bộ, viên chức, người lao động đã phát huy tinh thần đoàn kết, trách nhiệm, vượt qua khó khăn, hoàn thành xuất sắc nhiệm vụ bảo vệ, chăm sóc sức khỏe nhân dân. Nhiều tập thể, cá nhân điển hình tiên tiến được phát hiện, bồi dưỡng, biểu dương và nhân rộng, tạo sức lan tỏa mạnh mẽ trong toàn đơn vị.</w:t>
            </w:r>
          </w:p>
          <w:p w14:paraId="6A6E9A37" w14:textId="77777777" w:rsidR="00592E4C" w:rsidRPr="00592E4C" w:rsidRDefault="00592E4C" w:rsidP="006E16AC">
            <w:pPr>
              <w:pStyle w:val="ThngthngWeb"/>
              <w:numPr>
                <w:ilvl w:val="0"/>
                <w:numId w:val="1"/>
              </w:numPr>
              <w:tabs>
                <w:tab w:val="left" w:pos="178"/>
              </w:tabs>
              <w:ind w:left="0" w:firstLine="36"/>
              <w:jc w:val="both"/>
              <w:rPr>
                <w:rFonts w:asciiTheme="majorHAnsi" w:hAnsiTheme="majorHAnsi" w:cstheme="majorHAnsi"/>
                <w:sz w:val="26"/>
                <w:szCs w:val="26"/>
              </w:rPr>
            </w:pPr>
            <w:r w:rsidRPr="00592E4C">
              <w:rPr>
                <w:rFonts w:asciiTheme="majorHAnsi" w:hAnsiTheme="majorHAnsi" w:cstheme="majorHAnsi"/>
                <w:sz w:val="26"/>
                <w:szCs w:val="26"/>
              </w:rPr>
              <w:t>Bệnh viện đã xây dựng và triển khai thực hiện hiệu quả các chuẩn mực đạo đức nghề nghiệp theo tư tưởng, đạo đức, phong cách Hồ Chí Minh gắn với quy tắc ứng xử của cán bộ y tế; thường xuyên kiểm tra, giám sát việc thực hiện, góp phần xây dựng đội ngũ cán bộ, đảng viên, viên chức có phẩm chất đạo đức tốt, tận tụy phục vụ nhân dân.</w:t>
            </w:r>
          </w:p>
          <w:p w14:paraId="301F0F97" w14:textId="703DE766" w:rsidR="00592E4C" w:rsidRPr="00592E4C" w:rsidRDefault="00592E4C" w:rsidP="00592E4C">
            <w:pPr>
              <w:pStyle w:val="ThngthngWeb"/>
              <w:numPr>
                <w:ilvl w:val="0"/>
                <w:numId w:val="1"/>
              </w:numPr>
              <w:tabs>
                <w:tab w:val="left" w:pos="178"/>
              </w:tabs>
              <w:ind w:left="0" w:firstLine="36"/>
              <w:jc w:val="both"/>
              <w:rPr>
                <w:rFonts w:asciiTheme="majorHAnsi" w:hAnsiTheme="majorHAnsi" w:cstheme="majorHAnsi"/>
                <w:sz w:val="26"/>
                <w:szCs w:val="26"/>
              </w:rPr>
            </w:pPr>
            <w:r w:rsidRPr="00592E4C">
              <w:rPr>
                <w:rFonts w:asciiTheme="majorHAnsi" w:hAnsiTheme="majorHAnsi" w:cstheme="majorHAnsi"/>
                <w:sz w:val="26"/>
                <w:szCs w:val="26"/>
              </w:rPr>
              <w:t>Từ năm 2016 đến năm 2026, đơn vị liên tục được đánh giá hoàn thành tốt nhiệm vụ trở lên; trong đó có 04 năm liên tục (2022, 2023, 2024, 2025) được đánh giá, xếp loại hoàn thành xuất sắc nhiệm vụ. Các năm 2022, 2023 và 2025 được công nhận danh hiệu Tập thể Lao động xuất sắc; năm 2024 được Chủ tịch UBND tỉnh Thái Nguyên tặng Bằng khen vì có thành tích xuất sắc trong thực hiện nhiệm vụ. Đảng bộ Bệnh viện liên tục được xếp loại hoàn thành tốt nhiệm vụ trở lên, trong đó các năm 2023, 2024 và 2025 được xếp loại hoàn thành xuất sắc nhiệm vụ, khẳng định vai trò hạt nhân chính trị trong lãnh đạo thực hiện hiệu quả việc học tập và làm theo tư tưởng, đạo đức, phong cách Hồ Chí Minh, góp phần xây dựng đơn vị ngày càng phát triển, đáp ứng tốt nhiệm vụ chăm sóc, bảo vệ và nâng cao sức khỏe nhân dân.</w:t>
            </w:r>
          </w:p>
        </w:tc>
      </w:tr>
    </w:tbl>
    <w:p w14:paraId="02DCDD38" w14:textId="77777777" w:rsidR="009E3F9E" w:rsidRDefault="009E3F9E"/>
    <w:sectPr w:rsidR="009E3F9E" w:rsidSect="00592E4C">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F7AEA"/>
    <w:multiLevelType w:val="hybridMultilevel"/>
    <w:tmpl w:val="27AE8B32"/>
    <w:lvl w:ilvl="0" w:tplc="1C066842">
      <w:start w:val="2022"/>
      <w:numFmt w:val="bullet"/>
      <w:lvlText w:val="-"/>
      <w:lvlJc w:val="left"/>
      <w:pPr>
        <w:ind w:left="3478" w:hanging="360"/>
      </w:pPr>
      <w:rPr>
        <w:rFonts w:ascii="Times New Roman" w:eastAsia="Times New Roman" w:hAnsi="Times New Roman" w:cs="Times New Roman" w:hint="default"/>
      </w:rPr>
    </w:lvl>
    <w:lvl w:ilvl="1" w:tplc="042A0003" w:tentative="1">
      <w:start w:val="1"/>
      <w:numFmt w:val="bullet"/>
      <w:lvlText w:val="o"/>
      <w:lvlJc w:val="left"/>
      <w:pPr>
        <w:ind w:left="4198" w:hanging="360"/>
      </w:pPr>
      <w:rPr>
        <w:rFonts w:ascii="Courier New" w:hAnsi="Courier New" w:cs="Courier New" w:hint="default"/>
      </w:rPr>
    </w:lvl>
    <w:lvl w:ilvl="2" w:tplc="042A0005" w:tentative="1">
      <w:start w:val="1"/>
      <w:numFmt w:val="bullet"/>
      <w:lvlText w:val=""/>
      <w:lvlJc w:val="left"/>
      <w:pPr>
        <w:ind w:left="4918" w:hanging="360"/>
      </w:pPr>
      <w:rPr>
        <w:rFonts w:ascii="Wingdings" w:hAnsi="Wingdings" w:hint="default"/>
      </w:rPr>
    </w:lvl>
    <w:lvl w:ilvl="3" w:tplc="042A0001" w:tentative="1">
      <w:start w:val="1"/>
      <w:numFmt w:val="bullet"/>
      <w:lvlText w:val=""/>
      <w:lvlJc w:val="left"/>
      <w:pPr>
        <w:ind w:left="5638" w:hanging="360"/>
      </w:pPr>
      <w:rPr>
        <w:rFonts w:ascii="Symbol" w:hAnsi="Symbol" w:hint="default"/>
      </w:rPr>
    </w:lvl>
    <w:lvl w:ilvl="4" w:tplc="042A0003" w:tentative="1">
      <w:start w:val="1"/>
      <w:numFmt w:val="bullet"/>
      <w:lvlText w:val="o"/>
      <w:lvlJc w:val="left"/>
      <w:pPr>
        <w:ind w:left="6358" w:hanging="360"/>
      </w:pPr>
      <w:rPr>
        <w:rFonts w:ascii="Courier New" w:hAnsi="Courier New" w:cs="Courier New" w:hint="default"/>
      </w:rPr>
    </w:lvl>
    <w:lvl w:ilvl="5" w:tplc="042A0005" w:tentative="1">
      <w:start w:val="1"/>
      <w:numFmt w:val="bullet"/>
      <w:lvlText w:val=""/>
      <w:lvlJc w:val="left"/>
      <w:pPr>
        <w:ind w:left="7078" w:hanging="360"/>
      </w:pPr>
      <w:rPr>
        <w:rFonts w:ascii="Wingdings" w:hAnsi="Wingdings" w:hint="default"/>
      </w:rPr>
    </w:lvl>
    <w:lvl w:ilvl="6" w:tplc="042A0001" w:tentative="1">
      <w:start w:val="1"/>
      <w:numFmt w:val="bullet"/>
      <w:lvlText w:val=""/>
      <w:lvlJc w:val="left"/>
      <w:pPr>
        <w:ind w:left="7798" w:hanging="360"/>
      </w:pPr>
      <w:rPr>
        <w:rFonts w:ascii="Symbol" w:hAnsi="Symbol" w:hint="default"/>
      </w:rPr>
    </w:lvl>
    <w:lvl w:ilvl="7" w:tplc="042A0003" w:tentative="1">
      <w:start w:val="1"/>
      <w:numFmt w:val="bullet"/>
      <w:lvlText w:val="o"/>
      <w:lvlJc w:val="left"/>
      <w:pPr>
        <w:ind w:left="8518" w:hanging="360"/>
      </w:pPr>
      <w:rPr>
        <w:rFonts w:ascii="Courier New" w:hAnsi="Courier New" w:cs="Courier New" w:hint="default"/>
      </w:rPr>
    </w:lvl>
    <w:lvl w:ilvl="8" w:tplc="042A0005" w:tentative="1">
      <w:start w:val="1"/>
      <w:numFmt w:val="bullet"/>
      <w:lvlText w:val=""/>
      <w:lvlJc w:val="left"/>
      <w:pPr>
        <w:ind w:left="92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4C"/>
    <w:rsid w:val="00321E4D"/>
    <w:rsid w:val="00592E4C"/>
    <w:rsid w:val="005E4B3D"/>
    <w:rsid w:val="006A6A20"/>
    <w:rsid w:val="00896699"/>
    <w:rsid w:val="009673AE"/>
    <w:rsid w:val="009E3F9E"/>
    <w:rsid w:val="00EC14B1"/>
    <w:rsid w:val="00FC54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3B9C"/>
  <w15:chartTrackingRefBased/>
  <w15:docId w15:val="{1F2A1181-11AF-4F24-8C8D-5AACD0D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592E4C"/>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LiBang">
    <w:name w:val="Table Grid"/>
    <w:basedOn w:val="BangThngthng"/>
    <w:uiPriority w:val="39"/>
    <w:rsid w:val="00592E4C"/>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Lành Thị Minh</cp:lastModifiedBy>
  <cp:revision>2</cp:revision>
  <dcterms:created xsi:type="dcterms:W3CDTF">2026-06-15T01:10:00Z</dcterms:created>
  <dcterms:modified xsi:type="dcterms:W3CDTF">2026-06-15T01:26:00Z</dcterms:modified>
</cp:coreProperties>
</file>